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黑体" w:hAnsi="黑体" w:eastAsia="黑体" w:cs="黑体"/>
          <w:lang w:val="en" w:eastAsia="zh-CN"/>
        </w:rPr>
      </w:pPr>
      <w:r>
        <w:rPr>
          <w:rFonts w:hint="eastAsia" w:ascii="黑体" w:hAnsi="黑体" w:eastAsia="黑体" w:cs="黑体"/>
          <w:lang w:val="en" w:eastAsia="zh-CN"/>
        </w:rPr>
        <w:t>征求意见函</w:t>
      </w:r>
    </w:p>
    <w:p>
      <w:pPr>
        <w:ind w:left="0" w:leftChars="0" w:firstLine="0" w:firstLineChars="0"/>
        <w:rPr>
          <w:rFonts w:hint="eastAsia"/>
          <w:lang w:val="en" w:eastAsia="zh-CN"/>
        </w:rPr>
      </w:pPr>
    </w:p>
    <w:p>
      <w:pPr>
        <w:ind w:left="0" w:leftChars="0" w:firstLine="0" w:firstLineChars="0"/>
        <w:rPr>
          <w:rFonts w:hint="eastAsia"/>
          <w:lang w:val="en" w:eastAsia="zh-CN"/>
        </w:rPr>
      </w:pPr>
      <w:r>
        <w:rPr>
          <w:rFonts w:hint="eastAsia"/>
          <w:lang w:val="en" w:eastAsia="zh-CN"/>
        </w:rPr>
        <w:t>广大企业：</w:t>
      </w:r>
    </w:p>
    <w:p>
      <w:pPr>
        <w:rPr>
          <w:rFonts w:hint="eastAsia"/>
          <w:lang w:val="en-US" w:eastAsia="zh-CN"/>
        </w:rPr>
      </w:pPr>
      <w:r>
        <w:rPr>
          <w:rFonts w:hint="eastAsia"/>
          <w:lang w:val="en" w:eastAsia="zh-CN"/>
        </w:rPr>
        <w:t>根据改革开发先行工作任务安排，林芝市自然资源局主导起草了《林芝市人民政府二三产业用地混合使用的指导意见》（以下简称“指导意见”），为使该指导意见具有实践性和可操作性，现将该意见公开，征求广大企业意见建议，您的意见将是我们开展好该项工作的强大动力。请于</w:t>
      </w:r>
      <w:r>
        <w:rPr>
          <w:rFonts w:hint="eastAsia"/>
          <w:lang w:val="en-US" w:eastAsia="zh-CN"/>
        </w:rPr>
        <w:t>2025年5月6日前将意见建议反馈至市自然资源局开发利用科。</w:t>
      </w:r>
    </w:p>
    <w:p>
      <w:pPr>
        <w:rPr>
          <w:rFonts w:hint="eastAsia"/>
          <w:lang w:val="en-US" w:eastAsia="zh-CN"/>
        </w:rPr>
      </w:pPr>
      <w:r>
        <w:rPr>
          <w:rFonts w:hint="eastAsia"/>
          <w:lang w:val="en-US" w:eastAsia="zh-CN"/>
        </w:rPr>
        <w:t>此函，盼复。</w:t>
      </w:r>
    </w:p>
    <w:p>
      <w:pPr>
        <w:ind w:left="0" w:leftChars="0" w:firstLine="0" w:firstLineChars="0"/>
        <w:rPr>
          <w:rFonts w:hint="eastAsia"/>
          <w:lang w:val="en-US" w:eastAsia="zh-CN"/>
        </w:rPr>
      </w:pPr>
      <w:r>
        <w:rPr>
          <w:rFonts w:hint="eastAsia"/>
          <w:lang w:val="en-US" w:eastAsia="zh-CN"/>
        </w:rPr>
        <w:t xml:space="preserve">    </w:t>
      </w:r>
    </w:p>
    <w:p>
      <w:pPr>
        <w:rPr>
          <w:rFonts w:hint="default"/>
          <w:w w:val="95"/>
          <w:sz w:val="32"/>
          <w:lang w:val="en-US" w:eastAsia="zh-CN"/>
        </w:rPr>
      </w:pPr>
      <w:r>
        <w:rPr>
          <w:rFonts w:hint="eastAsia"/>
          <w:lang w:val="en-US" w:eastAsia="zh-CN"/>
        </w:rPr>
        <w:t>附件：</w:t>
      </w:r>
      <w:r>
        <w:rPr>
          <w:rFonts w:hint="eastAsia"/>
          <w:w w:val="95"/>
          <w:sz w:val="32"/>
          <w:lang w:val="en" w:eastAsia="zh-CN"/>
        </w:rPr>
        <w:t>林芝市人民政府二三产业用地混合使用的指导意见</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林芝市自然资源局</w:t>
      </w:r>
    </w:p>
    <w:p>
      <w:pPr>
        <w:rPr>
          <w:rFonts w:hint="default"/>
          <w:lang w:val="en-US" w:eastAsia="zh-CN"/>
        </w:rPr>
      </w:pPr>
      <w:r>
        <w:rPr>
          <w:rFonts w:hint="eastAsia"/>
          <w:lang w:val="en-US" w:eastAsia="zh-CN"/>
        </w:rPr>
        <w:t xml:space="preserve">                            2025年4月25日</w:t>
      </w:r>
    </w:p>
    <w:p>
      <w:pPr>
        <w:rPr>
          <w:rFonts w:hint="default"/>
          <w:lang w:val="en-US" w:eastAsia="zh-CN"/>
        </w:rPr>
      </w:pPr>
      <w:r>
        <w:rPr>
          <w:rFonts w:hint="eastAsia"/>
          <w:lang w:val="en-US" w:eastAsia="zh-CN"/>
        </w:rPr>
        <w:t>（联系人：唐家飞，联系电话：18143242955）</w:t>
      </w:r>
    </w:p>
    <w:p>
      <w:pPr>
        <w:pStyle w:val="2"/>
        <w:ind w:left="0" w:leftChars="0" w:firstLine="0" w:firstLineChars="0"/>
        <w:jc w:val="center"/>
        <w:rPr>
          <w:rFonts w:hint="eastAsia"/>
        </w:rPr>
      </w:pPr>
    </w:p>
    <w:p>
      <w:pPr>
        <w:pStyle w:val="2"/>
        <w:ind w:left="0" w:leftChars="0" w:firstLine="0" w:firstLineChars="0"/>
        <w:jc w:val="center"/>
        <w:rPr>
          <w:rFonts w:hint="eastAsia"/>
        </w:rPr>
      </w:pPr>
    </w:p>
    <w:p>
      <w:pPr>
        <w:pStyle w:val="2"/>
        <w:ind w:left="0" w:leftChars="0" w:firstLine="0" w:firstLineChars="0"/>
        <w:jc w:val="center"/>
        <w:rPr>
          <w:rFonts w:hint="eastAsia"/>
        </w:rPr>
      </w:pPr>
    </w:p>
    <w:p>
      <w:pPr>
        <w:pStyle w:val="3"/>
        <w:rPr>
          <w:rFonts w:hint="eastAsia"/>
        </w:rPr>
      </w:pPr>
    </w:p>
    <w:p>
      <w:pPr>
        <w:rPr>
          <w:rFonts w:hint="eastAsia"/>
        </w:rPr>
      </w:pPr>
    </w:p>
    <w:p>
      <w:pPr>
        <w:rPr>
          <w:rFonts w:hint="eastAsia"/>
        </w:rPr>
      </w:pPr>
    </w:p>
    <w:p>
      <w:pPr>
        <w:rPr>
          <w:rFonts w:hint="eastAsia"/>
        </w:rPr>
      </w:pPr>
    </w:p>
    <w:p>
      <w:pPr>
        <w:pStyle w:val="2"/>
        <w:ind w:left="0" w:leftChars="0" w:firstLine="0" w:firstLineChars="0"/>
        <w:jc w:val="center"/>
      </w:pPr>
      <w:r>
        <w:rPr>
          <w:rFonts w:hint="eastAsia"/>
        </w:rPr>
        <w:t>前言</w:t>
      </w:r>
    </w:p>
    <w:p>
      <w:r>
        <w:rPr>
          <w:rFonts w:hint="eastAsia"/>
        </w:rPr>
        <w:t>为贯彻落实《中共中央国务院关于建立国土空间规划体系并监督实施的若干意见》（中发〔2019〕18号）、《中共西藏自治区委员会西藏自治区人民政府关于建立国土空间规划体系并监督实施的实施意见》（藏党发〔2020〕21号）《自然资源部关于进一步加强国土空间规划编制和实施管理的通知》（自然资发〔2022〕186号）、《自然资源部关于加强国土空间详细规划工作的通知》（自然资发〔2023〕43号）、《自然资源部关于进一步做好用地用海要素保障的通知》（自然资发〔2023</w:t>
      </w:r>
      <w:bookmarkStart w:id="0" w:name="OLE_LINK2"/>
      <w:r>
        <w:rPr>
          <w:rFonts w:hint="eastAsia"/>
        </w:rPr>
        <w:t>〕</w:t>
      </w:r>
      <w:bookmarkEnd w:id="0"/>
      <w:r>
        <w:rPr>
          <w:rFonts w:hint="eastAsia"/>
        </w:rPr>
        <w:t>89号）等一系列文件要求，有序推进我市二三产业用地混合使用，指导和规范我市混合用地规划、审批和管理工作，在总结实践经验，广泛听取各方意见的基础上，组织出台本指导意见。</w:t>
      </w:r>
    </w:p>
    <w:p>
      <w:r>
        <w:rPr>
          <w:rFonts w:hint="eastAsia"/>
        </w:rPr>
        <w:t>本指导意见由林芝市自然资源局负责解释，指导意见试行过程中将根据国家、自然资源部、自治区相关要求适时修订。</w:t>
      </w:r>
    </w:p>
    <w:p>
      <w:pPr>
        <w:pStyle w:val="12"/>
        <w:outlineLvl w:val="9"/>
      </w:pPr>
    </w:p>
    <w:p>
      <w:pPr>
        <w:pStyle w:val="12"/>
        <w:outlineLvl w:val="9"/>
      </w:pPr>
    </w:p>
    <w:p>
      <w:pPr>
        <w:pStyle w:val="12"/>
        <w:outlineLvl w:val="9"/>
      </w:pPr>
    </w:p>
    <w:p>
      <w:pPr>
        <w:pStyle w:val="12"/>
        <w:outlineLvl w:val="9"/>
      </w:pPr>
    </w:p>
    <w:p>
      <w:pPr>
        <w:pStyle w:val="12"/>
        <w:outlineLvl w:val="9"/>
      </w:pPr>
    </w:p>
    <w:p>
      <w:pPr>
        <w:pStyle w:val="12"/>
        <w:outlineLvl w:val="9"/>
      </w:pPr>
    </w:p>
    <w:p>
      <w:pPr>
        <w:pStyle w:val="12"/>
        <w:outlineLvl w:val="9"/>
      </w:pPr>
    </w:p>
    <w:p>
      <w:pPr>
        <w:pStyle w:val="12"/>
        <w:jc w:val="both"/>
        <w:outlineLvl w:val="9"/>
      </w:pPr>
    </w:p>
    <w:p>
      <w:pPr>
        <w:pStyle w:val="12"/>
        <w:outlineLvl w:val="9"/>
        <w:rPr>
          <w:rFonts w:ascii="方正小标宋简体" w:eastAsia="方正小标宋简体"/>
        </w:rPr>
      </w:pPr>
      <w:r>
        <w:rPr>
          <w:rFonts w:hint="eastAsia" w:ascii="方正小标宋简体" w:eastAsia="方正小标宋简体"/>
        </w:rPr>
        <w:t>林芝市人民政府关于二三产业用地</w:t>
      </w:r>
    </w:p>
    <w:p>
      <w:pPr>
        <w:pStyle w:val="12"/>
        <w:outlineLvl w:val="9"/>
        <w:rPr>
          <w:rFonts w:ascii="方正小标宋简体" w:eastAsia="方正小标宋简体"/>
        </w:rPr>
      </w:pPr>
      <w:r>
        <w:rPr>
          <w:rFonts w:hint="eastAsia" w:ascii="方正小标宋简体" w:eastAsia="方正小标宋简体"/>
        </w:rPr>
        <w:t>混合使用的指导意见</w:t>
      </w:r>
    </w:p>
    <w:p>
      <w:pPr>
        <w:pStyle w:val="32"/>
      </w:pPr>
      <w:r>
        <w:rPr>
          <w:rFonts w:hint="eastAsia"/>
        </w:rPr>
        <w:t>（</w:t>
      </w:r>
      <w:r>
        <w:rPr>
          <w:rFonts w:hint="eastAsia"/>
          <w:lang w:eastAsia="zh-CN"/>
        </w:rPr>
        <w:t>征求意见稿</w:t>
      </w:r>
      <w:r>
        <w:rPr>
          <w:rFonts w:hint="eastAsia"/>
        </w:rPr>
        <w:t>）</w:t>
      </w:r>
    </w:p>
    <w:p>
      <w:pPr>
        <w:pStyle w:val="12"/>
        <w:outlineLvl w:val="9"/>
        <w:rPr>
          <w:rFonts w:ascii="方正小标宋简体" w:eastAsia="方正小标宋简体"/>
        </w:rPr>
      </w:pPr>
    </w:p>
    <w:p>
      <w:pPr>
        <w:pStyle w:val="2"/>
      </w:pPr>
      <w:r>
        <w:rPr>
          <w:rFonts w:hint="eastAsia"/>
        </w:rPr>
        <w:t>一、总体要求</w:t>
      </w:r>
    </w:p>
    <w:p>
      <w:pPr>
        <w:pStyle w:val="3"/>
      </w:pPr>
      <w:r>
        <w:rPr>
          <w:rFonts w:hint="eastAsia"/>
        </w:rPr>
        <w:t>（一）目的意义</w:t>
      </w:r>
    </w:p>
    <w:p>
      <w:r>
        <w:rPr>
          <w:rFonts w:hint="eastAsia"/>
        </w:rPr>
        <w:t>为全面推进土地资源高质量利用，深化产业用地市场化配置改革，强化产业用地出让全生命周期管理，实现产业用地更集约、更高效、更可持续的高质量利用，提升和规范本市二三产业用地混合使用的科学性和可操作性，制订出台本指导意见。</w:t>
      </w:r>
    </w:p>
    <w:p>
      <w:pPr>
        <w:pStyle w:val="3"/>
      </w:pPr>
      <w:r>
        <w:rPr>
          <w:rFonts w:hint="eastAsia"/>
        </w:rPr>
        <w:t>（二）指导思想</w:t>
      </w:r>
    </w:p>
    <w:p>
      <w:r>
        <w:rPr>
          <w:rFonts w:hint="eastAsia"/>
        </w:rPr>
        <w:t>以习近平新时代中国特色社会主义思想为指导，全面贯彻落实党的二十大精神和习近平总书记的重要讲话精神，坚持以人民为中心，完整、准确、全面贯彻新发展理念，坚定推动高质量发展的战略定力，进一步提高节约集约用地水平，支持产业转型升级和城市功能品质提升，探索二三产业混合用地开发利用、土地节约集约复合利用，助推林芝经济高质量发展，打造改革开放先行区，切实增强经济活力，完善城市功能，提升产业发展效率。</w:t>
      </w:r>
    </w:p>
    <w:p>
      <w:pPr>
        <w:pStyle w:val="3"/>
      </w:pPr>
      <w:r>
        <w:rPr>
          <w:rFonts w:hint="eastAsia"/>
        </w:rPr>
        <w:t>（三）概念内涵及适用范围</w:t>
      </w:r>
    </w:p>
    <w:p>
      <w:r>
        <w:rPr>
          <w:rFonts w:hint="eastAsia"/>
        </w:rPr>
        <w:t>本意见所称</w:t>
      </w:r>
      <w:bookmarkStart w:id="1" w:name="_Hlk196145552"/>
      <w:r>
        <w:rPr>
          <w:rFonts w:hint="eastAsia"/>
        </w:rPr>
        <w:t>二三产业功能混合用地</w:t>
      </w:r>
      <w:bookmarkEnd w:id="1"/>
      <w:r>
        <w:rPr>
          <w:rFonts w:hint="eastAsia"/>
        </w:rPr>
        <w:t>（以下简称“</w:t>
      </w:r>
      <w:r>
        <w:t>功能</w:t>
      </w:r>
      <w:r>
        <w:rPr>
          <w:rFonts w:hint="eastAsia"/>
        </w:rPr>
        <w:t>混合</w:t>
      </w:r>
      <w:r>
        <w:t>用地</w:t>
      </w:r>
      <w:r>
        <w:rPr>
          <w:rFonts w:hint="eastAsia"/>
        </w:rPr>
        <w:t>”），是指在规划编制、规划实施、规划管理阶段，在国土空间规划确定的单一宗地上，土地使用功能超出用地兼容性规定的适建用途或比例，需要采用两种或两种以上用地性质（不包括商品住宅）组合表达的复合型用地类别，通过合理引导功能混合，满足不同发展阶段的需求，节约集约利用空间资源。</w:t>
      </w:r>
    </w:p>
    <w:p>
      <w:r>
        <w:rPr>
          <w:rFonts w:hint="eastAsia"/>
        </w:rPr>
        <w:t>本意见适用范围为林芝市市域范围内符合国土空间规划的国有</w:t>
      </w:r>
      <w:bookmarkStart w:id="2" w:name="OLE_LINK1"/>
      <w:r>
        <w:rPr>
          <w:rFonts w:hint="eastAsia"/>
        </w:rPr>
        <w:t>一类工业用地</w:t>
      </w:r>
      <w:bookmarkEnd w:id="2"/>
      <w:bookmarkStart w:id="3" w:name="OLE_LINK3"/>
      <w:r>
        <w:rPr>
          <w:rFonts w:hint="eastAsia"/>
        </w:rPr>
        <w:t>（100101）</w:t>
      </w:r>
      <w:bookmarkEnd w:id="3"/>
      <w:r>
        <w:rPr>
          <w:rFonts w:hint="eastAsia"/>
        </w:rPr>
        <w:t>和二类工业用地（100102）。各县（区、市）可结合规划管理实际，明确混合用地的规划布局。</w:t>
      </w:r>
    </w:p>
    <w:p>
      <w:pPr>
        <w:pStyle w:val="3"/>
      </w:pPr>
      <w:r>
        <w:rPr>
          <w:rFonts w:hint="eastAsia"/>
        </w:rPr>
        <w:t>（四）基本原则</w:t>
      </w:r>
    </w:p>
    <w:p>
      <w:r>
        <w:rPr>
          <w:rFonts w:hint="eastAsia"/>
        </w:rPr>
        <w:t>坚持规划引导。综合考虑区域环境、产业发展、基础设施等因素，完善功能布局，优化用地结构，发挥规划引导作用，促进土地功能混合使用。坚持市场机制。在规划的弹性范围内，允许土地使用权人根据用地承载的产业发展需求灵活确定适宜的使用功能，进一步强化土地的要素保障作用。坚持集约节约。坚持统筹规划、分步实施，确保风险可控的前提下，科学合理确定混合用地的规模和开发强度，促进产城融合，提升城市活力，提高土地节约集约利用水平。</w:t>
      </w:r>
    </w:p>
    <w:p>
      <w:pPr>
        <w:pStyle w:val="2"/>
      </w:pPr>
      <w:r>
        <w:rPr>
          <w:rFonts w:hint="eastAsia"/>
        </w:rPr>
        <w:t>二、</w:t>
      </w:r>
      <w:bookmarkStart w:id="4" w:name="_Hlk196154074"/>
      <w:r>
        <w:rPr>
          <w:rFonts w:hint="eastAsia"/>
        </w:rPr>
        <w:t>产业用地功能混合使用</w:t>
      </w:r>
      <w:bookmarkEnd w:id="4"/>
      <w:r>
        <w:rPr>
          <w:rFonts w:hint="eastAsia"/>
        </w:rPr>
        <w:t>管理</w:t>
      </w:r>
    </w:p>
    <w:p>
      <w:pPr>
        <w:pStyle w:val="22"/>
      </w:pPr>
      <w:r>
        <w:rPr>
          <w:rFonts w:hint="eastAsia"/>
        </w:rPr>
        <w:t>切实执行我市国土空间调查、规划、用途管制用地分类有关多种用地功能混合的管理要求，依据国土空间总体规划的规划分区，衔接各类专项规划，产业功能混合用地实行用地功能混合正负面清单管理和比例管控，提升土地使用的灵活性和适应性，促进空间高效复合利用。项目建设应统筹好主导用途与混合用途的关系，应保持主导用途的主导地位并优先实现，混合用途应始终服务于主导用途。混合用途的建设内容不对主导用途的建筑产生安全、环境、消防等负面影响。</w:t>
      </w:r>
    </w:p>
    <w:p>
      <w:pPr>
        <w:pStyle w:val="22"/>
      </w:pPr>
      <w:bookmarkStart w:id="5" w:name="OLE_LINK10"/>
      <w:r>
        <w:rPr>
          <w:rFonts w:hint="eastAsia"/>
        </w:rPr>
        <w:t>（一）功能混合正负面清单管理</w:t>
      </w:r>
    </w:p>
    <w:bookmarkEnd w:id="5"/>
    <w:p>
      <w:pPr>
        <w:pStyle w:val="22"/>
      </w:pPr>
      <w:r>
        <w:rPr>
          <w:rFonts w:hint="eastAsia"/>
        </w:rPr>
        <w:t>以一类工业用地和二类工业用地为主导用途，按照鼓励混合、允许混合和禁止混合三类模式形成《林芝市二三产业</w:t>
      </w:r>
      <w:bookmarkStart w:id="6" w:name="_Hlk196154083"/>
      <w:r>
        <w:rPr>
          <w:rFonts w:hint="eastAsia"/>
        </w:rPr>
        <w:t>用地功能混合</w:t>
      </w:r>
      <w:bookmarkEnd w:id="6"/>
      <w:r>
        <w:rPr>
          <w:rFonts w:hint="eastAsia"/>
        </w:rPr>
        <w:t>正负面清单》（附表），指导详细规划编制、修编、动态维护及规划管理，科学确定地块的主导用途及混合用途。用地功能混合使用应符合正负面清单管理要求。</w:t>
      </w:r>
    </w:p>
    <w:p>
      <w:pPr>
        <w:pStyle w:val="22"/>
      </w:pPr>
      <w:r>
        <w:rPr>
          <w:rFonts w:hint="eastAsia"/>
        </w:rPr>
        <w:t>（二）混合比例管控要求</w:t>
      </w:r>
    </w:p>
    <w:p>
      <w:pPr>
        <w:pStyle w:val="22"/>
      </w:pPr>
      <w:bookmarkStart w:id="7" w:name="OLE_LINK11"/>
      <w:r>
        <w:rPr>
          <w:rFonts w:hint="eastAsia"/>
        </w:rPr>
        <w:t>主导用途</w:t>
      </w:r>
      <w:bookmarkEnd w:id="7"/>
      <w:r>
        <w:rPr>
          <w:rFonts w:hint="eastAsia"/>
        </w:rPr>
        <w:t>的计容建筑面积</w:t>
      </w:r>
      <w:r>
        <w:t>占比</w:t>
      </w:r>
      <w:r>
        <w:rPr>
          <w:rFonts w:hint="eastAsia"/>
        </w:rPr>
        <w:t>应不小于地块计容建筑面积的50%。</w:t>
      </w:r>
    </w:p>
    <w:p>
      <w:pPr>
        <w:pStyle w:val="22"/>
      </w:pPr>
      <w:r>
        <w:t>当</w:t>
      </w:r>
      <w:r>
        <w:rPr>
          <w:rFonts w:hint="eastAsia"/>
        </w:rPr>
        <w:t>混合</w:t>
      </w:r>
      <w:r>
        <w:t>用途</w:t>
      </w:r>
      <w:r>
        <w:rPr>
          <w:rFonts w:hint="eastAsia"/>
        </w:rPr>
        <w:t>的</w:t>
      </w:r>
      <w:r>
        <w:t>计容</w:t>
      </w:r>
      <w:r>
        <w:rPr>
          <w:rFonts w:hint="eastAsia"/>
        </w:rPr>
        <w:t>建筑</w:t>
      </w:r>
      <w:r>
        <w:t>面积</w:t>
      </w:r>
      <w:r>
        <w:rPr>
          <w:rFonts w:hint="eastAsia"/>
        </w:rPr>
        <w:t>不超过</w:t>
      </w:r>
      <w:r>
        <w:t>地块计容</w:t>
      </w:r>
      <w:r>
        <w:rPr>
          <w:rFonts w:hint="eastAsia"/>
        </w:rPr>
        <w:t>建筑</w:t>
      </w:r>
      <w:r>
        <w:t>面积</w:t>
      </w:r>
      <w:r>
        <w:rPr>
          <w:rFonts w:hint="eastAsia"/>
        </w:rPr>
        <w:t>的30%时，按照用途兼容进行管理。当混合</w:t>
      </w:r>
      <w:r>
        <w:t>用途</w:t>
      </w:r>
      <w:r>
        <w:rPr>
          <w:rFonts w:hint="eastAsia"/>
        </w:rPr>
        <w:t>的</w:t>
      </w:r>
      <w:r>
        <w:t>计容</w:t>
      </w:r>
      <w:r>
        <w:rPr>
          <w:rFonts w:hint="eastAsia"/>
        </w:rPr>
        <w:t>建筑</w:t>
      </w:r>
      <w:r>
        <w:t>面积</w:t>
      </w:r>
      <w:r>
        <w:rPr>
          <w:rFonts w:hint="eastAsia"/>
        </w:rPr>
        <w:t>超过</w:t>
      </w:r>
      <w:r>
        <w:t>地块计容</w:t>
      </w:r>
      <w:r>
        <w:rPr>
          <w:rFonts w:hint="eastAsia"/>
        </w:rPr>
        <w:t>建筑</w:t>
      </w:r>
      <w:r>
        <w:t>面积</w:t>
      </w:r>
      <w:r>
        <w:rPr>
          <w:rFonts w:hint="eastAsia"/>
        </w:rPr>
        <w:t>的30%</w:t>
      </w:r>
      <w:r>
        <w:t>并小于50%时</w:t>
      </w:r>
      <w:r>
        <w:rPr>
          <w:rFonts w:hint="eastAsia"/>
        </w:rPr>
        <w:t>，按照二三产业用地功能混合使用情形执行，并符合本意见相关规定。</w:t>
      </w:r>
    </w:p>
    <w:p>
      <w:pPr>
        <w:pStyle w:val="2"/>
      </w:pPr>
      <w:bookmarkStart w:id="8" w:name="OLE_LINK9"/>
      <w:r>
        <w:rPr>
          <w:rFonts w:hint="eastAsia"/>
        </w:rPr>
        <w:t>三、规划审批</w:t>
      </w:r>
    </w:p>
    <w:bookmarkEnd w:id="8"/>
    <w:p>
      <w:pPr>
        <w:pStyle w:val="3"/>
      </w:pPr>
      <w:r>
        <w:t>（一）</w:t>
      </w:r>
      <w:r>
        <w:rPr>
          <w:rFonts w:hint="eastAsia"/>
        </w:rPr>
        <w:t>规划编制</w:t>
      </w:r>
    </w:p>
    <w:p>
      <w:r>
        <w:rPr>
          <w:rFonts w:hint="eastAsia"/>
        </w:rPr>
        <w:t>在国土空间详细规划的编制中鼓励设置产业混合用地，综合考虑空间合理布局、产业融合、建筑兼容和交通环境等因素，提出混合用地功能引导要求，明确混合用地主导用途及混合用途类型，并根据主导用途科学确定经济技术指标。混合用地的用地代码之间采用“+”符号连接，在国土空间详细规划中明确表达，详细规划中无混合用地标注的，严禁将单一性质用地作为混合用地审批和管理。</w:t>
      </w:r>
    </w:p>
    <w:p>
      <w:r>
        <w:rPr>
          <w:rFonts w:hint="eastAsia"/>
        </w:rPr>
        <w:t>新编或修编详细</w:t>
      </w:r>
      <w:r>
        <w:t>规划</w:t>
      </w:r>
      <w:r>
        <w:rPr>
          <w:rFonts w:hint="eastAsia"/>
        </w:rPr>
        <w:t>的产业用地</w:t>
      </w:r>
      <w:r>
        <w:t>应落实</w:t>
      </w:r>
      <w:r>
        <w:rPr>
          <w:rFonts w:hint="eastAsia"/>
        </w:rPr>
        <w:t>国土空间总体规划</w:t>
      </w:r>
      <w:r>
        <w:t>确定的主导功能分区与功能管控等要求，加强空间资源高效配置，将主导用途和混合用途细化落实到地块，统筹安排用地功能布局。同时，加强动态监测，保障主导功能有效传导、其他功能合理配置。</w:t>
      </w:r>
    </w:p>
    <w:p>
      <w:pPr>
        <w:pStyle w:val="3"/>
      </w:pPr>
      <w:r>
        <w:t>（</w:t>
      </w:r>
      <w:r>
        <w:rPr>
          <w:rFonts w:hint="eastAsia"/>
        </w:rPr>
        <w:t>二</w:t>
      </w:r>
      <w:r>
        <w:t>）</w:t>
      </w:r>
      <w:r>
        <w:rPr>
          <w:rFonts w:hint="eastAsia"/>
        </w:rPr>
        <w:t>规划管理</w:t>
      </w:r>
    </w:p>
    <w:p>
      <w:pPr>
        <w:ind w:firstLine="643"/>
      </w:pPr>
      <w:r>
        <w:rPr>
          <w:rFonts w:hint="eastAsia"/>
          <w:b/>
          <w:bCs/>
        </w:rPr>
        <w:t>出具规划条件阶段。</w:t>
      </w:r>
      <w:r>
        <w:rPr>
          <w:rFonts w:hint="eastAsia"/>
        </w:rPr>
        <w:t>已经编制详细规划的产业用地，自然资源主管部门依申请按照详细规划出具规划条件，在规划条件中明确混合用途的具体建设内容、建设规模及占地上总建筑规模的比例等内容。</w:t>
      </w:r>
    </w:p>
    <w:p>
      <w:pPr>
        <w:pStyle w:val="22"/>
        <w:ind w:firstLine="643"/>
      </w:pPr>
      <w:bookmarkStart w:id="9" w:name="_Hlk196142996"/>
      <w:r>
        <w:rPr>
          <w:rFonts w:hint="eastAsia"/>
          <w:b/>
          <w:bCs/>
        </w:rPr>
        <w:t>已编制详细规划尚未供应土地</w:t>
      </w:r>
      <w:bookmarkEnd w:id="9"/>
      <w:r>
        <w:rPr>
          <w:rFonts w:hint="eastAsia"/>
          <w:b/>
          <w:bCs/>
        </w:rPr>
        <w:t>，</w:t>
      </w:r>
      <w:r>
        <w:t>因国家、自治区相关文件要求，上位规划及相关专项规划调整，国家、自治区、市重大项目落地需求，产业、招商主管部门及产业园区管委会意见，确需将</w:t>
      </w:r>
      <w:r>
        <w:rPr>
          <w:rFonts w:hint="eastAsia"/>
        </w:rPr>
        <w:t>地块规划用地性质由单一用途调整为多种用途的，</w:t>
      </w:r>
      <w:r>
        <w:t>应由行业主管部门或产业园区管委会申请，</w:t>
      </w:r>
      <w:r>
        <w:rPr>
          <w:rFonts w:hint="eastAsia"/>
        </w:rPr>
        <w:t>结合片区功能定位和详细规划评估结论组织开展论证，合理确定主导用途及混合用途的规划用地性质及控制要求。其中，属于《林芝市二三产业用地用途混合正负面清单》（附表）中鼓励混合及允许混合用途用地的，可按照详细规划动态维护程序对已编详细规划进行调整。</w:t>
      </w:r>
    </w:p>
    <w:p>
      <w:pPr>
        <w:pStyle w:val="22"/>
        <w:ind w:firstLine="643"/>
      </w:pPr>
      <w:r>
        <w:rPr>
          <w:rFonts w:hint="eastAsia"/>
          <w:b/>
          <w:bCs/>
        </w:rPr>
        <w:t>已编制详细规划已供应未实施土地，</w:t>
      </w:r>
      <w:r>
        <w:rPr>
          <w:rFonts w:hint="eastAsia"/>
        </w:rPr>
        <w:t>建设用地使用权人依据本意见增加或改变混合功能内容的，需取得自然资源主管部门同意。如地块规划用地性质拟由单一用途调整为多种用途的，在</w:t>
      </w:r>
      <w:bookmarkStart w:id="10" w:name="_Hlk196149060"/>
      <w:r>
        <w:rPr>
          <w:rFonts w:hint="eastAsia"/>
        </w:rPr>
        <w:t>符合</w:t>
      </w:r>
      <w:bookmarkStart w:id="11" w:name="_Hlk196146571"/>
      <w:r>
        <w:rPr>
          <w:rFonts w:hint="eastAsia"/>
        </w:rPr>
        <w:t>《林芝市二三产业用地用途混合正负面清单》（附表）</w:t>
      </w:r>
      <w:bookmarkEnd w:id="10"/>
      <w:bookmarkEnd w:id="11"/>
      <w:r>
        <w:rPr>
          <w:rFonts w:hint="eastAsia"/>
        </w:rPr>
        <w:t>中鼓励混合及允许混合功能情况下，</w:t>
      </w:r>
      <w:bookmarkStart w:id="12" w:name="_Hlk196155397"/>
      <w:r>
        <w:rPr>
          <w:rFonts w:hint="eastAsia"/>
        </w:rPr>
        <w:t>按照详细规划动态维护程序对已编详细规划进行调整后，核发规划许可。</w:t>
      </w:r>
      <w:bookmarkEnd w:id="12"/>
    </w:p>
    <w:p>
      <w:pPr>
        <w:pStyle w:val="22"/>
      </w:pPr>
      <w:r>
        <w:rPr>
          <w:rFonts w:hint="eastAsia"/>
        </w:rPr>
        <w:t>以出让方式获得建设用地使用权的，根据自然资源主管部门意见，补缴土地出让价款和相关规费，并签订土地使用权出让补充协议。若已办理建设用地规划许可证的</w:t>
      </w:r>
      <w:bookmarkStart w:id="13" w:name="_Hlk196149193"/>
      <w:r>
        <w:rPr>
          <w:rFonts w:hint="eastAsia"/>
        </w:rPr>
        <w:t>，根据自然资源主管部门意见、补充协议等文件变更建设用地规划许可证。</w:t>
      </w:r>
      <w:bookmarkEnd w:id="13"/>
    </w:p>
    <w:p>
      <w:pPr>
        <w:pStyle w:val="22"/>
        <w:ind w:firstLine="643"/>
      </w:pPr>
      <w:r>
        <w:rPr>
          <w:rFonts w:hint="eastAsia"/>
          <w:b/>
          <w:bCs/>
        </w:rPr>
        <w:t>已供应已实施土地，</w:t>
      </w:r>
      <w:r>
        <w:rPr>
          <w:rFonts w:hint="eastAsia"/>
        </w:rPr>
        <w:t>应按照核发的规划条件和审查通过的建设工程设计方案进行管理。</w:t>
      </w:r>
      <w:r>
        <w:t>如</w:t>
      </w:r>
      <w:r>
        <w:rPr>
          <w:rFonts w:hint="eastAsia"/>
        </w:rPr>
        <w:t>建设用地使用权人需对一类和二类工业用地上的存量建筑功能进行调整，属于《林芝市二三产业用地用途混合正负面清单》（附表）中鼓励混合用途的，</w:t>
      </w:r>
      <w:r>
        <w:t>调整</w:t>
      </w:r>
      <w:r>
        <w:rPr>
          <w:rFonts w:hint="eastAsia"/>
        </w:rPr>
        <w:t>后生产用途以外的其他用途总地上建筑规模不超过宗地地上总建筑规模的30%，且</w:t>
      </w:r>
      <w:r>
        <w:t>调整</w:t>
      </w:r>
      <w:r>
        <w:rPr>
          <w:rFonts w:hint="eastAsia"/>
        </w:rPr>
        <w:t>为工业研发以外用途的总地上建筑规模不超过宗地地上总建筑规模15%的，按照不改变规划用地性质和土地用途管理。</w:t>
      </w:r>
      <w:r>
        <w:t>属于</w:t>
      </w:r>
      <w:r>
        <w:rPr>
          <w:rFonts w:hint="eastAsia"/>
        </w:rPr>
        <w:t>《林芝市二三产业用地用途混合正负面清单》（附表）</w:t>
      </w:r>
      <w:r>
        <w:t>中允许混合用途，或</w:t>
      </w:r>
      <w:r>
        <w:rPr>
          <w:rFonts w:hint="eastAsia"/>
        </w:rPr>
        <w:t>超过以上比例要求且不属于《林芝市二三产业用地用途混合正负面清单》（附表）中禁止混合用途的，应当根据自然资源主管部门意见依法办理土地用途变更手续，补缴土地出让价款和相关规费，并签订土地使用权出让补充协议</w:t>
      </w:r>
      <w:r>
        <w:t>，</w:t>
      </w:r>
      <w:r>
        <w:rPr>
          <w:rFonts w:hint="eastAsia"/>
        </w:rPr>
        <w:t>变更建设用地规划许可证</w:t>
      </w:r>
      <w:r>
        <w:t>，</w:t>
      </w:r>
    </w:p>
    <w:p>
      <w:pPr>
        <w:pStyle w:val="22"/>
        <w:rPr>
          <w:rFonts w:hint="eastAsia"/>
        </w:rPr>
      </w:pPr>
      <w:r>
        <w:rPr>
          <w:rFonts w:hint="eastAsia"/>
        </w:rPr>
        <w:t>混合产业用地的建设工程设计方案应该严格按照规划设计条件书、土地出让合同中明确的用途和规模进行设计，同时应满足国家、地方有关建筑设计标准和规定，并兼顾工业与其他类别建筑的整体风貌协调；工业用房和商业商务等其他性质用房在满足消防、安全、环保等规范前提下可以复合设计。自然资源主管部门在方案审查、住建部门在施工图审查中应分别严格把关。</w:t>
      </w:r>
    </w:p>
    <w:p>
      <w:pPr>
        <w:pStyle w:val="2"/>
      </w:pPr>
      <w:r>
        <w:rPr>
          <w:rFonts w:hint="eastAsia"/>
        </w:rPr>
        <w:t>四、土地供应</w:t>
      </w:r>
    </w:p>
    <w:p>
      <w:pPr>
        <w:pStyle w:val="3"/>
      </w:pPr>
      <w:r>
        <w:rPr>
          <w:rFonts w:hint="eastAsia"/>
        </w:rPr>
        <w:t>（一）供应方式</w:t>
      </w:r>
    </w:p>
    <w:p>
      <w:pPr>
        <w:pStyle w:val="22"/>
      </w:pPr>
      <w:r>
        <w:rPr>
          <w:rFonts w:hint="eastAsia"/>
        </w:rPr>
        <w:t>二三产业混合用地应采用招标拍卖挂牌方式供应土地。</w:t>
      </w:r>
    </w:p>
    <w:p>
      <w:pPr>
        <w:pStyle w:val="3"/>
      </w:pPr>
      <w:r>
        <w:rPr>
          <w:rFonts w:hint="eastAsia"/>
        </w:rPr>
        <w:t>（二）使用年限</w:t>
      </w:r>
    </w:p>
    <w:p>
      <w:pPr>
        <w:pStyle w:val="22"/>
      </w:pPr>
      <w:r>
        <w:rPr>
          <w:rFonts w:hint="eastAsia"/>
        </w:rPr>
        <w:t>新出让宗地，混合用途用地的出让年限一般按照主导用途用地的出让年限确定，且不超过混合用途用地的法定最高年限。已出让宗地，规划用地性质由单一用途调整为多种用途的，主导用途和混合用途用地的出让期限均不得超过相应用途法定最高出让年限。</w:t>
      </w:r>
    </w:p>
    <w:p>
      <w:pPr>
        <w:pStyle w:val="3"/>
      </w:pPr>
      <w:r>
        <w:rPr>
          <w:rFonts w:hint="eastAsia"/>
        </w:rPr>
        <w:t>（三）地价确定</w:t>
      </w:r>
    </w:p>
    <w:p>
      <w:pPr>
        <w:pStyle w:val="22"/>
      </w:pPr>
      <w:r>
        <w:rPr>
          <w:rFonts w:hint="eastAsia"/>
        </w:rPr>
        <w:t>功能混合的产业用地出让时，在参考土地整理成本、周边同用途土地市场行情等基础上，按不同用途分别评估地价，估价结果在总地价外应按各用途单列地面地价、楼面地价和总价，其中商服用地应单列楼面地价。结合宗地各用途占比、出让年限以及分割转让比例限制等其他要求，合理确定土地出让底价、起始价，混合用地各用途的出让底价、起始价不得低于对应基准地价。</w:t>
      </w:r>
    </w:p>
    <w:p>
      <w:pPr>
        <w:pStyle w:val="22"/>
      </w:pPr>
      <w:r>
        <w:rPr>
          <w:rFonts w:hint="eastAsia"/>
        </w:rPr>
        <w:t>二三产业混合用地出让底价按如下公式计算：</w:t>
      </w:r>
    </w:p>
    <w:p>
      <w:pPr>
        <w:pStyle w:val="22"/>
      </w:pPr>
      <w:r>
        <w:rPr>
          <w:rFonts w:hint="eastAsia"/>
        </w:rPr>
        <w:t>二三产业混合用地基准价= A*P1*M*（N/50）+P2*A</w:t>
      </w:r>
      <w:r>
        <w:rPr>
          <w:rFonts w:hint="eastAsia"/>
          <w:vertAlign w:val="superscript"/>
        </w:rPr>
        <w:t>2</w:t>
      </w:r>
      <w:r>
        <w:rPr>
          <w:rFonts w:hint="eastAsia"/>
        </w:rPr>
        <w:t>*（N/X</w:t>
      </w:r>
      <w:r>
        <w:rPr>
          <w:rFonts w:hint="eastAsia"/>
          <w:vertAlign w:val="superscript"/>
        </w:rPr>
        <w:t>2</w:t>
      </w:r>
      <w:r>
        <w:rPr>
          <w:rFonts w:hint="eastAsia"/>
        </w:rPr>
        <w:t>）+</w:t>
      </w:r>
      <w:r>
        <w:t>…</w:t>
      </w:r>
      <w:r>
        <w:rPr>
          <w:rFonts w:hint="eastAsia"/>
        </w:rPr>
        <w:t>+Pn*A</w:t>
      </w:r>
      <w:r>
        <w:rPr>
          <w:rFonts w:hint="eastAsia"/>
          <w:vertAlign w:val="superscript"/>
        </w:rPr>
        <w:t>n</w:t>
      </w:r>
      <w:r>
        <w:rPr>
          <w:rFonts w:hint="eastAsia"/>
        </w:rPr>
        <w:t>*（N/</w:t>
      </w:r>
      <w:bookmarkStart w:id="14" w:name="OLE_LINK8"/>
      <w:r>
        <w:rPr>
          <w:rFonts w:hint="eastAsia"/>
        </w:rPr>
        <w:t>X</w:t>
      </w:r>
      <w:r>
        <w:rPr>
          <w:rFonts w:hint="eastAsia"/>
          <w:vertAlign w:val="superscript"/>
        </w:rPr>
        <w:t>n</w:t>
      </w:r>
      <w:bookmarkEnd w:id="14"/>
      <w:r>
        <w:rPr>
          <w:rFonts w:hint="eastAsia"/>
        </w:rPr>
        <w:t>）</w:t>
      </w:r>
    </w:p>
    <w:p>
      <w:pPr>
        <w:pStyle w:val="22"/>
      </w:pPr>
      <w:r>
        <w:rPr>
          <w:rFonts w:hint="eastAsia"/>
        </w:rPr>
        <w:t>其中：A为地块总面积，M为工业用地基准价，N为用地最高年限， A</w:t>
      </w:r>
      <w:r>
        <w:rPr>
          <w:rFonts w:hint="eastAsia"/>
          <w:vertAlign w:val="superscript"/>
        </w:rPr>
        <w:t>n</w:t>
      </w:r>
      <w:r>
        <w:rPr>
          <w:rFonts w:hint="eastAsia"/>
        </w:rPr>
        <w:t>为混合用地楼面积（即建筑面积），P1为二三产业混合用地中工业用地比例，Pn为混合用地基准楼面价，X</w:t>
      </w:r>
      <w:r>
        <w:rPr>
          <w:rFonts w:hint="eastAsia"/>
          <w:vertAlign w:val="superscript"/>
        </w:rPr>
        <w:t>n</w:t>
      </w:r>
      <w:r>
        <w:rPr>
          <w:rFonts w:hint="eastAsia"/>
        </w:rPr>
        <w:t>为混合用地最高年限。</w:t>
      </w:r>
    </w:p>
    <w:p>
      <w:pPr>
        <w:pStyle w:val="2"/>
      </w:pPr>
      <w:r>
        <w:rPr>
          <w:rFonts w:hint="eastAsia"/>
        </w:rPr>
        <w:t>五、产权登记及转让管理</w:t>
      </w:r>
    </w:p>
    <w:p>
      <w:r>
        <w:rPr>
          <w:rFonts w:hint="eastAsia"/>
        </w:rPr>
        <w:t>混合产业用地应当整体持有，办理整体产权，项目竣工后依据规划土地核实意见确定的土地用途进行登记。土地出让合同或变更协议等批准文件确定的</w:t>
      </w:r>
      <w:r>
        <w:t>主导</w:t>
      </w:r>
      <w:r>
        <w:rPr>
          <w:rFonts w:hint="eastAsia"/>
        </w:rPr>
        <w:t>用途</w:t>
      </w:r>
      <w:r>
        <w:t>及混合用途</w:t>
      </w:r>
      <w:r>
        <w:rPr>
          <w:rFonts w:hint="eastAsia"/>
        </w:rPr>
        <w:t>清单和比例构成、不动产权利处分的等内容应当在产权证书附记栏中予以注记。土地出让合同约定部分建筑应当移交相关部门的，该部分建筑可以办理转移登记。</w:t>
      </w:r>
    </w:p>
    <w:p>
      <w:pPr>
        <w:rPr>
          <w:rFonts w:hint="eastAsia"/>
        </w:rPr>
      </w:pPr>
      <w:r>
        <w:rPr>
          <w:rFonts w:hint="eastAsia"/>
        </w:rPr>
        <w:t>从严控制混合产业用地分割转让，工业建筑区内办公、生活服务等配套用房不得独立分割转让。建设用地使用权人办理转移登记或变更重要注记内容时，应当提供自然资源主管部门（出让人）审核同意的意见。</w:t>
      </w:r>
    </w:p>
    <w:p>
      <w:pPr>
        <w:pStyle w:val="2"/>
      </w:pPr>
      <w:r>
        <w:rPr>
          <w:rFonts w:hint="eastAsia"/>
        </w:rPr>
        <w:t>六、产业准入及监管</w:t>
      </w:r>
    </w:p>
    <w:p>
      <w:r>
        <w:rPr>
          <w:rFonts w:hint="eastAsia"/>
        </w:rPr>
        <w:t>混合用地的确定应当根据产业特点科学设置。产业主管部门对混合用地的产业类型、建设时序、自持比例及移交管理等提出要求的，原则上应纳入土地出让方案。在土地成交或出让方案审批后，由提出产业条件的主管部门与建设用地使用权人签订履约监管协议，并负责实施监管。建设用地使用权人凭有关履约监管协议与自然资源主管部门签订土地出让合同或变更协议。</w:t>
      </w:r>
    </w:p>
    <w:p>
      <w:pPr>
        <w:pStyle w:val="2"/>
      </w:pPr>
      <w:r>
        <w:rPr>
          <w:rFonts w:hint="eastAsia"/>
        </w:rPr>
        <w:t>七</w:t>
      </w:r>
      <w:r>
        <w:t>、实施保障</w:t>
      </w:r>
    </w:p>
    <w:p>
      <w:pPr>
        <w:pStyle w:val="3"/>
      </w:pPr>
      <w:r>
        <w:t>（一）加强统筹协调</w:t>
      </w:r>
    </w:p>
    <w:p>
      <w:r>
        <w:t>市自然资源</w:t>
      </w:r>
      <w:r>
        <w:rPr>
          <w:rFonts w:hint="eastAsia"/>
        </w:rPr>
        <w:t>局</w:t>
      </w:r>
      <w:r>
        <w:t>要发挥好统筹协调作用，及时汇总施行过程中遇到的问题，总结推广相关经验，及时完善管理规则，指导各</w:t>
      </w:r>
      <w:r>
        <w:rPr>
          <w:rFonts w:hint="eastAsia"/>
        </w:rPr>
        <w:t>县（区、市）</w:t>
      </w:r>
      <w:r>
        <w:t>因地制宜制定相关实施细则。遇有重大事项应及时向市委、市政府请示报告，如涉及重大决策事项应当提请</w:t>
      </w:r>
      <w:r>
        <w:rPr>
          <w:rFonts w:hint="eastAsia"/>
        </w:rPr>
        <w:t>市国土空间</w:t>
      </w:r>
      <w:r>
        <w:t>规划委员会审议。</w:t>
      </w:r>
    </w:p>
    <w:p>
      <w:pPr>
        <w:pStyle w:val="3"/>
      </w:pPr>
      <w:r>
        <w:t>（二）强化</w:t>
      </w:r>
      <w:r>
        <w:rPr>
          <w:rFonts w:hint="eastAsia"/>
        </w:rPr>
        <w:t>监督管理</w:t>
      </w:r>
    </w:p>
    <w:p>
      <w:r>
        <w:rPr>
          <w:rFonts w:hint="eastAsia"/>
        </w:rPr>
        <w:t>混合产业用地的建设和运营实行全链条监督管理，严禁违法改变土地用途和建筑功能、违规销售，各相关单位应当依法查处混合产业用地违法违规问题</w:t>
      </w:r>
      <w:r>
        <w:t>。</w:t>
      </w:r>
    </w:p>
    <w:p>
      <w:pPr>
        <w:pStyle w:val="3"/>
      </w:pPr>
      <w:r>
        <w:t>（三）压实属地责任</w:t>
      </w:r>
    </w:p>
    <w:p>
      <w:bookmarkStart w:id="15" w:name="_Hlk196127033"/>
      <w:r>
        <w:t>各</w:t>
      </w:r>
      <w:r>
        <w:rPr>
          <w:rFonts w:hint="eastAsia"/>
        </w:rPr>
        <w:t>县（区、市）</w:t>
      </w:r>
      <w:bookmarkEnd w:id="15"/>
      <w:r>
        <w:rPr>
          <w:rFonts w:hint="eastAsia"/>
        </w:rPr>
        <w:t>自然资源主管部门</w:t>
      </w:r>
      <w:r>
        <w:t>应组织建立本地区用地功能混合管控机制和决策咨询机制，广泛听取街道办事处、乡镇政府、</w:t>
      </w:r>
      <w:r>
        <w:rPr>
          <w:rFonts w:hint="eastAsia"/>
        </w:rPr>
        <w:t>村（</w:t>
      </w:r>
      <w:r>
        <w:t>居</w:t>
      </w:r>
      <w:r>
        <w:rPr>
          <w:rFonts w:hint="eastAsia"/>
        </w:rPr>
        <w:t>）</w:t>
      </w:r>
      <w:r>
        <w:t>委会和居民意见，集成</w:t>
      </w:r>
      <w:r>
        <w:rPr>
          <w:rFonts w:hint="eastAsia"/>
        </w:rPr>
        <w:t>市县两级</w:t>
      </w:r>
      <w:r>
        <w:t>土地、规划、财政、金融等政策工具，因地制宜制定适合本地区的工作细则，探索用地功能混合在不同应用阶段的实施路径，摸清存量情况，制定实施计划，推进手续办理。各</w:t>
      </w:r>
      <w:r>
        <w:rPr>
          <w:rFonts w:hint="eastAsia"/>
        </w:rPr>
        <w:t>县（区、市）</w:t>
      </w:r>
      <w:r>
        <w:t>要加强项目前期审核、中期监督、后期评估、全程监管的全生命周期管理，促进土地资源集约高效利用。</w:t>
      </w:r>
    </w:p>
    <w:p>
      <w:pPr>
        <w:pStyle w:val="3"/>
      </w:pPr>
      <w:r>
        <w:t>（四）其他</w:t>
      </w:r>
    </w:p>
    <w:p>
      <w:r>
        <w:t>本意见自印发之日起试行，有效期</w:t>
      </w:r>
      <w:r>
        <w:rPr>
          <w:rFonts w:hint="eastAsia"/>
          <w:lang w:val="en-US" w:eastAsia="zh-CN"/>
        </w:rPr>
        <w:t>2</w:t>
      </w:r>
      <w:bookmarkStart w:id="17" w:name="_GoBack"/>
      <w:bookmarkEnd w:id="17"/>
      <w:r>
        <w:t>年。本意见由市</w:t>
      </w:r>
      <w:r>
        <w:rPr>
          <w:rFonts w:hint="eastAsia"/>
        </w:rPr>
        <w:t>自然资源局</w:t>
      </w:r>
      <w:r>
        <w:t>负责解释。</w:t>
      </w:r>
    </w:p>
    <w:p>
      <w:pPr>
        <w:pStyle w:val="2"/>
        <w:jc w:val="center"/>
      </w:pPr>
      <w:r>
        <w:br w:type="page"/>
      </w:r>
      <w:r>
        <w:rPr>
          <w:rFonts w:hint="eastAsia"/>
        </w:rPr>
        <w:t>附表</w:t>
      </w:r>
    </w:p>
    <w:p>
      <w:pPr>
        <w:pStyle w:val="24"/>
      </w:pPr>
      <w:bookmarkStart w:id="16" w:name="_Hlk196144186"/>
      <w:r>
        <w:rPr>
          <w:rFonts w:hint="eastAsia"/>
        </w:rPr>
        <w:t>林芝市二三产业用地用途混合正负面清单</w:t>
      </w:r>
      <w:bookmarkEnd w:id="16"/>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37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852" w:type="pct"/>
            <w:shd w:val="clear" w:color="auto" w:fill="D7D7D7" w:themeFill="background1" w:themeFillShade="D8"/>
            <w:vAlign w:val="center"/>
          </w:tcPr>
          <w:p>
            <w:pPr>
              <w:pStyle w:val="25"/>
              <w:ind w:firstLine="0" w:firstLineChars="0"/>
              <w:jc w:val="center"/>
            </w:pPr>
            <w:r>
              <w:rPr>
                <w:rFonts w:hint="eastAsia"/>
              </w:rPr>
              <w:t>用地分类</w:t>
            </w:r>
          </w:p>
        </w:tc>
        <w:tc>
          <w:tcPr>
            <w:tcW w:w="2221" w:type="pct"/>
            <w:shd w:val="clear" w:color="auto" w:fill="D7D7D7" w:themeFill="background1" w:themeFillShade="D8"/>
          </w:tcPr>
          <w:p>
            <w:pPr>
              <w:pStyle w:val="25"/>
              <w:ind w:firstLine="0" w:firstLineChars="0"/>
            </w:pPr>
            <w:r>
              <w:rPr>
                <w:rFonts w:hint="eastAsia"/>
              </w:rPr>
              <w:t>一类工业用地(100101)</w:t>
            </w:r>
          </w:p>
        </w:tc>
        <w:tc>
          <w:tcPr>
            <w:tcW w:w="1927" w:type="pct"/>
            <w:shd w:val="clear" w:color="auto" w:fill="D7D7D7" w:themeFill="background1" w:themeFillShade="D8"/>
          </w:tcPr>
          <w:p>
            <w:pPr>
              <w:pStyle w:val="25"/>
              <w:ind w:firstLine="0" w:firstLineChars="0"/>
            </w:pPr>
            <w:r>
              <w:rPr>
                <w:rFonts w:hint="eastAsia"/>
              </w:rPr>
              <w:t>二类工业用地(100102)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52" w:type="pct"/>
            <w:vAlign w:val="center"/>
          </w:tcPr>
          <w:p>
            <w:pPr>
              <w:pStyle w:val="25"/>
              <w:ind w:firstLine="0" w:firstLineChars="0"/>
              <w:jc w:val="center"/>
            </w:pPr>
            <w:r>
              <w:rPr>
                <w:rFonts w:hint="eastAsia"/>
              </w:rPr>
              <w:t>鼓励混合</w:t>
            </w:r>
          </w:p>
        </w:tc>
        <w:tc>
          <w:tcPr>
            <w:tcW w:w="2221" w:type="pct"/>
          </w:tcPr>
          <w:p>
            <w:pPr>
              <w:pStyle w:val="25"/>
              <w:ind w:firstLine="0" w:firstLineChars="0"/>
            </w:pPr>
            <w:r>
              <w:rPr>
                <w:rFonts w:hint="eastAsia"/>
              </w:rPr>
              <w:t>1.科研用地(0802)</w:t>
            </w:r>
          </w:p>
          <w:p>
            <w:pPr>
              <w:pStyle w:val="25"/>
              <w:ind w:firstLine="0" w:firstLineChars="0"/>
            </w:pPr>
            <w:r>
              <w:rPr>
                <w:rFonts w:hint="eastAsia"/>
              </w:rPr>
              <w:t>2.一类物流仓储用地(110101)</w:t>
            </w:r>
          </w:p>
          <w:p>
            <w:pPr>
              <w:pStyle w:val="25"/>
              <w:ind w:firstLine="0" w:firstLineChars="0"/>
            </w:pPr>
          </w:p>
        </w:tc>
        <w:tc>
          <w:tcPr>
            <w:tcW w:w="1927" w:type="pct"/>
          </w:tcPr>
          <w:p>
            <w:pPr>
              <w:pStyle w:val="25"/>
              <w:ind w:firstLine="0" w:firstLineChars="0"/>
            </w:pPr>
            <w:r>
              <w:rPr>
                <w:rFonts w:hint="eastAsia"/>
              </w:rPr>
              <w:t>1.科研用地(0802)</w:t>
            </w:r>
          </w:p>
          <w:p>
            <w:pPr>
              <w:pStyle w:val="25"/>
              <w:ind w:firstLine="0" w:firstLineChars="0"/>
            </w:pPr>
            <w:r>
              <w:rPr>
                <w:rFonts w:hint="eastAsia"/>
              </w:rPr>
              <w:t>2.可完全</w:t>
            </w:r>
            <w:r>
              <w:t>调整</w:t>
            </w:r>
            <w:r>
              <w:rPr>
                <w:rFonts w:hint="eastAsia"/>
              </w:rPr>
              <w:t>为一类工业用地(100101)</w:t>
            </w:r>
          </w:p>
          <w:p>
            <w:pPr>
              <w:pStyle w:val="25"/>
              <w:ind w:firstLine="0" w:firstLineChars="0"/>
            </w:pPr>
            <w:r>
              <w:rPr>
                <w:rFonts w:hint="eastAsia"/>
              </w:rPr>
              <w:t>3.物流仓储用地(1101)</w:t>
            </w:r>
          </w:p>
          <w:p>
            <w:pPr>
              <w:pStyle w:val="25"/>
              <w:ind w:firstLine="0" w:firstLineChars="0"/>
            </w:pPr>
            <w:r>
              <w:rPr>
                <w:rFonts w:hint="eastAsia"/>
              </w:rPr>
              <w:t>一类物流仓储用地(110101)、二类物流仓储用地(110102)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52" w:type="pct"/>
            <w:vAlign w:val="center"/>
          </w:tcPr>
          <w:p>
            <w:pPr>
              <w:pStyle w:val="25"/>
              <w:ind w:firstLine="0" w:firstLineChars="0"/>
              <w:jc w:val="center"/>
            </w:pPr>
            <w:r>
              <w:rPr>
                <w:rFonts w:hint="eastAsia"/>
              </w:rPr>
              <w:t>允许混合</w:t>
            </w:r>
          </w:p>
        </w:tc>
        <w:tc>
          <w:tcPr>
            <w:tcW w:w="2221" w:type="pct"/>
          </w:tcPr>
          <w:p>
            <w:pPr>
              <w:pStyle w:val="25"/>
              <w:ind w:firstLine="0" w:firstLineChars="0"/>
            </w:pPr>
            <w:r>
              <w:rPr>
                <w:rFonts w:hint="eastAsia"/>
              </w:rPr>
              <w:t>1.商业服务业用地(09)</w:t>
            </w:r>
          </w:p>
          <w:p>
            <w:pPr>
              <w:pStyle w:val="25"/>
              <w:ind w:firstLine="0" w:firstLineChars="0"/>
            </w:pPr>
            <w:r>
              <w:rPr>
                <w:rFonts w:hint="eastAsia"/>
              </w:rPr>
              <w:t>零售商业用地(090101)、批发市场用地(090102)、公用设施营业网点用地(090105，零售加油、加气等有安全影响的公用设施营业网点用地除外)、商务金融用地(0902)、其他商业服务业用地(0904)</w:t>
            </w:r>
          </w:p>
          <w:p>
            <w:pPr>
              <w:pStyle w:val="25"/>
              <w:ind w:firstLine="0" w:firstLineChars="0"/>
            </w:pPr>
            <w:r>
              <w:rPr>
                <w:rFonts w:hint="eastAsia"/>
              </w:rPr>
              <w:t>2.交通场站用地(1208)</w:t>
            </w:r>
          </w:p>
          <w:p>
            <w:pPr>
              <w:pStyle w:val="25"/>
              <w:ind w:firstLine="0" w:firstLineChars="0"/>
            </w:pPr>
            <w:r>
              <w:rPr>
                <w:rFonts w:hint="eastAsia"/>
              </w:rPr>
              <w:t>公共交通场站用地(120802)、社会停车场用地(120803)</w:t>
            </w:r>
          </w:p>
          <w:p>
            <w:pPr>
              <w:pStyle w:val="25"/>
              <w:ind w:firstLine="0" w:firstLineChars="0"/>
            </w:pPr>
            <w:r>
              <w:rPr>
                <w:rFonts w:hint="eastAsia"/>
              </w:rPr>
              <w:t>3.公用设施用地(13)</w:t>
            </w:r>
          </w:p>
        </w:tc>
        <w:tc>
          <w:tcPr>
            <w:tcW w:w="1927" w:type="pct"/>
          </w:tcPr>
          <w:p>
            <w:pPr>
              <w:pStyle w:val="25"/>
              <w:ind w:firstLine="0" w:firstLineChars="0"/>
            </w:pPr>
            <w:r>
              <w:rPr>
                <w:rFonts w:hint="eastAsia"/>
              </w:rPr>
              <w:t>1.商业服务业用地(09)</w:t>
            </w:r>
          </w:p>
          <w:p>
            <w:pPr>
              <w:pStyle w:val="25"/>
              <w:ind w:firstLine="0" w:firstLineChars="0"/>
            </w:pPr>
            <w:r>
              <w:rPr>
                <w:rFonts w:hint="eastAsia"/>
              </w:rPr>
              <w:t>零售商业用地(090101)、批发市场用地(090102)、公用设施营业网点用地(090105，零售加油、加气等有安全影响的公用设施营业网点用地除外)、商务金融用地(0902)、其他商业服务业用地(0904)</w:t>
            </w:r>
          </w:p>
          <w:p>
            <w:pPr>
              <w:pStyle w:val="25"/>
              <w:ind w:firstLine="0" w:firstLineChars="0"/>
            </w:pPr>
            <w:r>
              <w:rPr>
                <w:rFonts w:hint="eastAsia"/>
              </w:rPr>
              <w:t>2.交通场站用地(1208)</w:t>
            </w:r>
          </w:p>
          <w:p>
            <w:pPr>
              <w:pStyle w:val="25"/>
              <w:ind w:firstLine="0" w:firstLineChars="0"/>
            </w:pPr>
            <w:r>
              <w:rPr>
                <w:rFonts w:hint="eastAsia"/>
              </w:rPr>
              <w:t>公共交通场站用地(120802)、社会停车场用地(120803)</w:t>
            </w:r>
          </w:p>
          <w:p>
            <w:pPr>
              <w:pStyle w:val="25"/>
              <w:ind w:firstLine="0" w:firstLineChars="0"/>
            </w:pPr>
            <w:r>
              <w:rPr>
                <w:rFonts w:hint="eastAsia"/>
              </w:rPr>
              <w:t>3.公用设施用地(13)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pct"/>
            <w:vAlign w:val="center"/>
          </w:tcPr>
          <w:p>
            <w:pPr>
              <w:pStyle w:val="25"/>
              <w:ind w:firstLine="0" w:firstLineChars="0"/>
              <w:jc w:val="center"/>
            </w:pPr>
            <w:r>
              <w:rPr>
                <w:rFonts w:hint="eastAsia"/>
              </w:rPr>
              <w:t>禁止混合</w:t>
            </w:r>
          </w:p>
        </w:tc>
        <w:tc>
          <w:tcPr>
            <w:tcW w:w="2221" w:type="pct"/>
          </w:tcPr>
          <w:p>
            <w:pPr>
              <w:pStyle w:val="25"/>
              <w:ind w:firstLine="0" w:firstLineChars="0"/>
            </w:pPr>
            <w:r>
              <w:rPr>
                <w:rFonts w:hint="eastAsia"/>
              </w:rPr>
              <w:t>1.城镇住宅用地(0701)</w:t>
            </w:r>
          </w:p>
          <w:p>
            <w:pPr>
              <w:pStyle w:val="25"/>
              <w:ind w:firstLine="0" w:firstLineChars="0"/>
            </w:pPr>
            <w:r>
              <w:rPr>
                <w:rFonts w:hint="eastAsia"/>
              </w:rPr>
              <w:t>2.工业用地(1001)</w:t>
            </w:r>
          </w:p>
          <w:p>
            <w:pPr>
              <w:pStyle w:val="25"/>
              <w:ind w:firstLine="0" w:firstLineChars="0"/>
            </w:pPr>
            <w:r>
              <w:rPr>
                <w:rFonts w:hint="eastAsia"/>
              </w:rPr>
              <w:t>二类工业用地(100102)、三类工业用地(100103)</w:t>
            </w:r>
          </w:p>
          <w:p>
            <w:pPr>
              <w:pStyle w:val="25"/>
              <w:ind w:firstLine="0" w:firstLineChars="0"/>
            </w:pPr>
            <w:r>
              <w:rPr>
                <w:rFonts w:hint="eastAsia"/>
              </w:rPr>
              <w:t>3.物流仓储用地(1101)</w:t>
            </w:r>
          </w:p>
          <w:p>
            <w:pPr>
              <w:pStyle w:val="25"/>
              <w:ind w:firstLine="0" w:firstLineChars="0"/>
            </w:pPr>
            <w:r>
              <w:rPr>
                <w:rFonts w:hint="eastAsia"/>
              </w:rPr>
              <w:t>二类物流仓储用地(110102)、三类物流仓储用地(110103)</w:t>
            </w:r>
          </w:p>
        </w:tc>
        <w:tc>
          <w:tcPr>
            <w:tcW w:w="1927" w:type="pct"/>
          </w:tcPr>
          <w:p>
            <w:pPr>
              <w:pStyle w:val="25"/>
              <w:ind w:firstLine="0" w:firstLineChars="0"/>
            </w:pPr>
            <w:r>
              <w:rPr>
                <w:rFonts w:hint="eastAsia"/>
              </w:rPr>
              <w:t>1.城镇住宅用地(0701)</w:t>
            </w:r>
          </w:p>
          <w:p>
            <w:pPr>
              <w:pStyle w:val="25"/>
              <w:ind w:firstLine="0" w:firstLineChars="0"/>
            </w:pPr>
            <w:r>
              <w:rPr>
                <w:rFonts w:hint="eastAsia"/>
              </w:rPr>
              <w:t>2.三类工业用地(100103)</w:t>
            </w:r>
          </w:p>
          <w:p>
            <w:pPr>
              <w:pStyle w:val="25"/>
              <w:ind w:firstLine="0" w:firstLineChars="0"/>
            </w:pPr>
            <w:r>
              <w:rPr>
                <w:rFonts w:hint="eastAsia"/>
              </w:rPr>
              <w:t>3.三类物流仓储用地(110103)</w:t>
            </w:r>
          </w:p>
          <w:p>
            <w:pPr>
              <w:pStyle w:val="25"/>
              <w:ind w:firstLine="0" w:firstLineChars="0"/>
            </w:pPr>
          </w:p>
        </w:tc>
      </w:tr>
    </w:tbl>
    <w:p>
      <w:pPr>
        <w:spacing w:line="240" w:lineRule="auto"/>
        <w:ind w:firstLine="480"/>
        <w:rPr>
          <w:rFonts w:ascii="楷体_GB2312" w:hAnsi="楷体" w:cs="宋体"/>
          <w:color w:val="333333"/>
          <w:kern w:val="0"/>
          <w:sz w:val="24"/>
          <w:szCs w:val="21"/>
        </w:rPr>
      </w:pPr>
      <w:r>
        <w:rPr>
          <w:rFonts w:hint="eastAsia" w:ascii="楷体_GB2312" w:hAnsi="楷体" w:cs="宋体"/>
          <w:color w:val="333333"/>
          <w:kern w:val="0"/>
          <w:sz w:val="24"/>
          <w:szCs w:val="21"/>
        </w:rPr>
        <w:t>备注：</w:t>
      </w:r>
    </w:p>
    <w:p>
      <w:pPr>
        <w:spacing w:line="240" w:lineRule="auto"/>
        <w:ind w:firstLine="480"/>
        <w:rPr>
          <w:rFonts w:ascii="楷体_GB2312" w:hAnsi="楷体" w:cs="宋体"/>
          <w:color w:val="333333"/>
          <w:kern w:val="0"/>
          <w:sz w:val="24"/>
          <w:szCs w:val="21"/>
        </w:rPr>
      </w:pPr>
      <w:r>
        <w:rPr>
          <w:rFonts w:hint="eastAsia" w:ascii="楷体_GB2312" w:hAnsi="楷体" w:cs="宋体"/>
          <w:color w:val="333333"/>
          <w:kern w:val="0"/>
          <w:sz w:val="24"/>
          <w:szCs w:val="21"/>
        </w:rPr>
        <w:t>1.混合用地的用地代码之间采用“+”符号连接，主导用途用地排列首位，鼓励允许混合的排列顺序原则上按照建筑与设施所对应的建筑面积大小进行排列。此表依据混合用地管理的有关要求及时更新。</w:t>
      </w:r>
    </w:p>
    <w:p>
      <w:pPr>
        <w:spacing w:line="240" w:lineRule="auto"/>
        <w:ind w:firstLine="480"/>
        <w:rPr>
          <w:rFonts w:ascii="楷体_GB2312" w:hAnsi="楷体" w:cs="宋体"/>
          <w:color w:val="333333"/>
          <w:kern w:val="0"/>
          <w:sz w:val="24"/>
          <w:szCs w:val="21"/>
        </w:rPr>
      </w:pPr>
      <w:r>
        <w:rPr>
          <w:rFonts w:hint="eastAsia" w:ascii="楷体_GB2312" w:hAnsi="楷体" w:cs="宋体"/>
          <w:color w:val="333333"/>
          <w:kern w:val="0"/>
          <w:sz w:val="24"/>
          <w:szCs w:val="21"/>
        </w:rPr>
        <w:t>2.鼓励混合使用的用地类别，是指在一般情况下此类用地的混合使用可以提高土地使用效益，在规划编制中可经常使用。可混合使用的用地类别，是指此类用地可以混合使用，在规划编制中视具体情况使用。其他确需使用的混合用地，应通过专题研究确定。</w:t>
      </w:r>
    </w:p>
    <w:p>
      <w:pPr>
        <w:spacing w:line="240" w:lineRule="auto"/>
        <w:ind w:firstLine="480"/>
      </w:pPr>
      <w:r>
        <w:rPr>
          <w:rFonts w:hint="eastAsia" w:ascii="楷体_GB2312" w:hAnsi="楷体" w:cs="宋体"/>
          <w:color w:val="333333"/>
          <w:kern w:val="0"/>
          <w:sz w:val="24"/>
          <w:szCs w:val="21"/>
        </w:rPr>
        <w:t>3.附件各用地分类依据2023年11月自然资源部印发《国土空间调查、规划、用途管制用地用海分类指南》(自然资发〔2023〕234号)</w:t>
      </w:r>
      <w:r>
        <w:rPr>
          <w:rFonts w:hint="eastAsia"/>
        </w:rPr>
        <w:t>。</w:t>
      </w:r>
    </w:p>
    <w:p>
      <w:pPr>
        <w:spacing w:line="240" w:lineRule="auto"/>
        <w:ind w:firstLine="0" w:firstLineChars="0"/>
      </w:pP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800" w:bottom="1440" w:left="180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小标宋">
    <w:altName w:val="方正小标宋_GBK"/>
    <w:panose1 w:val="03000509000000000000"/>
    <w:charset w:val="86"/>
    <w:family w:val="script"/>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8127620"/>
    </w:sdtPr>
    <w:sdtEndPr>
      <w:rPr>
        <w:rFonts w:ascii="宋体" w:hAnsi="宋体" w:eastAsia="宋体"/>
        <w:sz w:val="28"/>
        <w:szCs w:val="28"/>
      </w:rPr>
    </w:sdtEndPr>
    <w:sdtContent>
      <w:p>
        <w:pPr>
          <w:pStyle w:val="7"/>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60"/>
  <w:drawingGridVerticalSpacing w:val="435"/>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85"/>
    <w:rsid w:val="00042232"/>
    <w:rsid w:val="0006383F"/>
    <w:rsid w:val="000E60BD"/>
    <w:rsid w:val="000F6DF0"/>
    <w:rsid w:val="00110F7C"/>
    <w:rsid w:val="00112F08"/>
    <w:rsid w:val="0018191F"/>
    <w:rsid w:val="00190EFF"/>
    <w:rsid w:val="00193505"/>
    <w:rsid w:val="00196475"/>
    <w:rsid w:val="00212F4D"/>
    <w:rsid w:val="00216DFF"/>
    <w:rsid w:val="002603D3"/>
    <w:rsid w:val="002612EA"/>
    <w:rsid w:val="0029182D"/>
    <w:rsid w:val="002925F7"/>
    <w:rsid w:val="002978A9"/>
    <w:rsid w:val="002A44BE"/>
    <w:rsid w:val="002E3F5C"/>
    <w:rsid w:val="002E5185"/>
    <w:rsid w:val="00365334"/>
    <w:rsid w:val="0037051A"/>
    <w:rsid w:val="003A3D54"/>
    <w:rsid w:val="003B494B"/>
    <w:rsid w:val="003E3416"/>
    <w:rsid w:val="003F1C55"/>
    <w:rsid w:val="00432CEB"/>
    <w:rsid w:val="004D7440"/>
    <w:rsid w:val="004E6F52"/>
    <w:rsid w:val="004F5AC9"/>
    <w:rsid w:val="00531EBA"/>
    <w:rsid w:val="00557A38"/>
    <w:rsid w:val="005660A1"/>
    <w:rsid w:val="005D3C5B"/>
    <w:rsid w:val="005D59D2"/>
    <w:rsid w:val="006679F5"/>
    <w:rsid w:val="00693A64"/>
    <w:rsid w:val="006A201A"/>
    <w:rsid w:val="00792660"/>
    <w:rsid w:val="007E49E4"/>
    <w:rsid w:val="007F021E"/>
    <w:rsid w:val="008044C1"/>
    <w:rsid w:val="0080749A"/>
    <w:rsid w:val="00811E64"/>
    <w:rsid w:val="00846F39"/>
    <w:rsid w:val="00893FEC"/>
    <w:rsid w:val="00894DF8"/>
    <w:rsid w:val="008C1875"/>
    <w:rsid w:val="008D7C81"/>
    <w:rsid w:val="0095550E"/>
    <w:rsid w:val="00964715"/>
    <w:rsid w:val="00980C10"/>
    <w:rsid w:val="009D3E30"/>
    <w:rsid w:val="009D7A8B"/>
    <w:rsid w:val="00A03264"/>
    <w:rsid w:val="00A64CE2"/>
    <w:rsid w:val="00AA0E52"/>
    <w:rsid w:val="00AA78D1"/>
    <w:rsid w:val="00AD2ECC"/>
    <w:rsid w:val="00B4188A"/>
    <w:rsid w:val="00B60258"/>
    <w:rsid w:val="00B93A83"/>
    <w:rsid w:val="00BD1FF7"/>
    <w:rsid w:val="00BD5262"/>
    <w:rsid w:val="00C751D5"/>
    <w:rsid w:val="00C9396C"/>
    <w:rsid w:val="00CC1945"/>
    <w:rsid w:val="00D045FC"/>
    <w:rsid w:val="00D24F86"/>
    <w:rsid w:val="00D7608A"/>
    <w:rsid w:val="00E1223A"/>
    <w:rsid w:val="00E4304D"/>
    <w:rsid w:val="00F06D62"/>
    <w:rsid w:val="00F52BD6"/>
    <w:rsid w:val="07780A3F"/>
    <w:rsid w:val="0C3E5484"/>
    <w:rsid w:val="125913E6"/>
    <w:rsid w:val="17096343"/>
    <w:rsid w:val="1BFCBC2E"/>
    <w:rsid w:val="1CA15CD3"/>
    <w:rsid w:val="1E3B1517"/>
    <w:rsid w:val="1FF50169"/>
    <w:rsid w:val="1FFF9CF4"/>
    <w:rsid w:val="20D36F75"/>
    <w:rsid w:val="26684E8B"/>
    <w:rsid w:val="26EA378A"/>
    <w:rsid w:val="2A9D1675"/>
    <w:rsid w:val="2BA75CE6"/>
    <w:rsid w:val="2DD614F7"/>
    <w:rsid w:val="326521CE"/>
    <w:rsid w:val="33700D2B"/>
    <w:rsid w:val="34A71CB4"/>
    <w:rsid w:val="37B53B0E"/>
    <w:rsid w:val="3CFF9F7B"/>
    <w:rsid w:val="3FCDCE9A"/>
    <w:rsid w:val="3FEE63D7"/>
    <w:rsid w:val="475452D9"/>
    <w:rsid w:val="47B826DC"/>
    <w:rsid w:val="4A227A1C"/>
    <w:rsid w:val="4AFA42A3"/>
    <w:rsid w:val="4E6266A0"/>
    <w:rsid w:val="4F98252E"/>
    <w:rsid w:val="5DFA5D45"/>
    <w:rsid w:val="5EDA2C72"/>
    <w:rsid w:val="657115CE"/>
    <w:rsid w:val="6AFAB21D"/>
    <w:rsid w:val="6C183BFF"/>
    <w:rsid w:val="729324E0"/>
    <w:rsid w:val="74026C7C"/>
    <w:rsid w:val="764447F3"/>
    <w:rsid w:val="7775097F"/>
    <w:rsid w:val="78212B1E"/>
    <w:rsid w:val="7E7FC81D"/>
    <w:rsid w:val="7FD55A89"/>
    <w:rsid w:val="7FFD31B4"/>
    <w:rsid w:val="97E7906D"/>
    <w:rsid w:val="BF43FFF4"/>
    <w:rsid w:val="BF76B30A"/>
    <w:rsid w:val="D6FCF684"/>
    <w:rsid w:val="D77B2143"/>
    <w:rsid w:val="D7B11985"/>
    <w:rsid w:val="DB1FA73A"/>
    <w:rsid w:val="DDDFAF35"/>
    <w:rsid w:val="DF7EEB68"/>
    <w:rsid w:val="DFFBC490"/>
    <w:rsid w:val="E7FFD236"/>
    <w:rsid w:val="EEF1468F"/>
    <w:rsid w:val="F9FA1325"/>
    <w:rsid w:val="FBD3807B"/>
    <w:rsid w:val="FBF9CBDD"/>
    <w:rsid w:val="FD7F7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_GB2312" w:hAnsi="黑体" w:eastAsia="仿宋_GB2312" w:cstheme="minorBidi"/>
      <w:kern w:val="2"/>
      <w:sz w:val="32"/>
      <w:szCs w:val="32"/>
      <w:lang w:val="en-US" w:eastAsia="zh-CN" w:bidi="ar-SA"/>
    </w:rPr>
  </w:style>
  <w:style w:type="paragraph" w:styleId="2">
    <w:name w:val="heading 1"/>
    <w:basedOn w:val="1"/>
    <w:next w:val="3"/>
    <w:qFormat/>
    <w:uiPriority w:val="9"/>
    <w:pPr>
      <w:outlineLvl w:val="0"/>
    </w:pPr>
    <w:rPr>
      <w:rFonts w:ascii="黑体" w:eastAsia="黑体"/>
    </w:rPr>
  </w:style>
  <w:style w:type="paragraph" w:styleId="3">
    <w:name w:val="heading 2"/>
    <w:basedOn w:val="4"/>
    <w:next w:val="1"/>
    <w:link w:val="21"/>
    <w:unhideWhenUsed/>
    <w:qFormat/>
    <w:uiPriority w:val="9"/>
    <w:pPr>
      <w:outlineLvl w:val="1"/>
    </w:pPr>
  </w:style>
  <w:style w:type="paragraph" w:styleId="4">
    <w:name w:val="heading 3"/>
    <w:basedOn w:val="1"/>
    <w:next w:val="1"/>
    <w:unhideWhenUsed/>
    <w:qFormat/>
    <w:uiPriority w:val="9"/>
    <w:pPr>
      <w:outlineLvl w:val="2"/>
    </w:pPr>
    <w:rPr>
      <w:rFonts w:ascii="楷体_GB2312" w:eastAsia="楷体_GB231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1400" w:leftChars="1400"/>
    </w:pPr>
  </w:style>
  <w:style w:type="paragraph" w:styleId="6">
    <w:name w:val="annotation text"/>
    <w:basedOn w:val="1"/>
    <w:link w:val="28"/>
    <w:semiHidden/>
    <w:unhideWhenUsed/>
    <w:qFormat/>
    <w:uiPriority w:val="99"/>
    <w:pPr>
      <w:jc w:val="left"/>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9"/>
    <w:basedOn w:val="1"/>
    <w:next w:val="1"/>
    <w:unhideWhenUsed/>
    <w:qFormat/>
    <w:uiPriority w:val="99"/>
    <w:pPr>
      <w:ind w:left="1600" w:leftChars="1600"/>
    </w:pPr>
  </w:style>
  <w:style w:type="paragraph" w:styleId="10">
    <w:name w:val="HTML Preformatted"/>
    <w:basedOn w:val="1"/>
    <w:unhideWhenUsed/>
    <w:qFormat/>
    <w:uiPriority w:val="99"/>
    <w:rPr>
      <w:rFonts w:ascii="Courier New" w:hAnsi="Courier New"/>
      <w:sz w:val="20"/>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2"/>
    <w:qFormat/>
    <w:uiPriority w:val="10"/>
    <w:pPr>
      <w:ind w:firstLine="0" w:firstLineChars="0"/>
      <w:jc w:val="center"/>
    </w:pPr>
    <w:rPr>
      <w:rFonts w:ascii="小标宋" w:eastAsia="小标宋" w:hAnsiTheme="minorHAnsi"/>
      <w:sz w:val="44"/>
      <w:szCs w:val="44"/>
    </w:rPr>
  </w:style>
  <w:style w:type="paragraph" w:styleId="13">
    <w:name w:val="annotation subject"/>
    <w:basedOn w:val="6"/>
    <w:next w:val="6"/>
    <w:link w:val="29"/>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TML Variable"/>
    <w:basedOn w:val="16"/>
    <w:unhideWhenUsed/>
    <w:qFormat/>
    <w:uiPriority w:val="99"/>
    <w:rPr>
      <w:i/>
    </w:rPr>
  </w:style>
  <w:style w:type="character" w:styleId="18">
    <w:name w:val="annotation reference"/>
    <w:basedOn w:val="16"/>
    <w:semiHidden/>
    <w:unhideWhenUsed/>
    <w:qFormat/>
    <w:uiPriority w:val="99"/>
    <w:rPr>
      <w:sz w:val="21"/>
      <w:szCs w:val="21"/>
    </w:rPr>
  </w:style>
  <w:style w:type="character" w:customStyle="1" w:styleId="19">
    <w:name w:val="页眉 字符"/>
    <w:basedOn w:val="16"/>
    <w:link w:val="8"/>
    <w:qFormat/>
    <w:uiPriority w:val="99"/>
    <w:rPr>
      <w:sz w:val="18"/>
      <w:szCs w:val="18"/>
    </w:rPr>
  </w:style>
  <w:style w:type="character" w:customStyle="1" w:styleId="20">
    <w:name w:val="页脚 字符"/>
    <w:basedOn w:val="16"/>
    <w:link w:val="7"/>
    <w:qFormat/>
    <w:uiPriority w:val="99"/>
    <w:rPr>
      <w:sz w:val="18"/>
      <w:szCs w:val="18"/>
    </w:rPr>
  </w:style>
  <w:style w:type="character" w:customStyle="1" w:styleId="21">
    <w:name w:val="标题 2 字符"/>
    <w:link w:val="3"/>
    <w:qFormat/>
    <w:uiPriority w:val="0"/>
    <w:rPr>
      <w:rFonts w:ascii="楷体_GB2312" w:hAnsi="黑体" w:eastAsia="楷体_GB2312" w:cstheme="minorBidi"/>
      <w:kern w:val="2"/>
      <w:sz w:val="32"/>
      <w:szCs w:val="32"/>
      <w:lang w:val="en-US" w:eastAsia="zh-CN" w:bidi="ar-SA"/>
    </w:rPr>
  </w:style>
  <w:style w:type="paragraph" w:customStyle="1" w:styleId="22">
    <w:name w:val="正文1"/>
    <w:basedOn w:val="1"/>
    <w:qFormat/>
    <w:uiPriority w:val="0"/>
    <w:rPr>
      <w:rFonts w:ascii="Times New Roman" w:hAnsi="Times New Roman"/>
    </w:rPr>
  </w:style>
  <w:style w:type="paragraph" w:customStyle="1" w:styleId="23">
    <w:name w:val="样式1"/>
    <w:basedOn w:val="1"/>
    <w:next w:val="1"/>
    <w:qFormat/>
    <w:uiPriority w:val="0"/>
    <w:pPr>
      <w:outlineLvl w:val="2"/>
    </w:pPr>
    <w:rPr>
      <w:rFonts w:hAnsi="仿宋_GB2312"/>
    </w:rPr>
  </w:style>
  <w:style w:type="paragraph" w:customStyle="1" w:styleId="24">
    <w:name w:val="附表标题"/>
    <w:basedOn w:val="22"/>
    <w:qFormat/>
    <w:uiPriority w:val="0"/>
    <w:pPr>
      <w:ind w:firstLine="0" w:firstLineChars="0"/>
      <w:jc w:val="center"/>
    </w:pPr>
    <w:rPr>
      <w:rFonts w:ascii="小标宋" w:eastAsia="小标宋"/>
      <w:sz w:val="44"/>
      <w:szCs w:val="44"/>
    </w:rPr>
  </w:style>
  <w:style w:type="paragraph" w:customStyle="1" w:styleId="25">
    <w:name w:val="附表表格文字"/>
    <w:basedOn w:val="1"/>
    <w:qFormat/>
    <w:uiPriority w:val="0"/>
    <w:pPr>
      <w:spacing w:line="240" w:lineRule="auto"/>
      <w:ind w:firstLine="480"/>
    </w:pPr>
    <w:rPr>
      <w:sz w:val="24"/>
      <w:szCs w:val="24"/>
    </w:rPr>
  </w:style>
  <w:style w:type="paragraph" w:customStyle="1" w:styleId="26">
    <w:name w:val="附件正文"/>
    <w:basedOn w:val="1"/>
    <w:qFormat/>
    <w:uiPriority w:val="0"/>
    <w:pPr>
      <w:spacing w:line="240" w:lineRule="auto"/>
      <w:ind w:firstLine="0" w:firstLineChars="0"/>
      <w:jc w:val="left"/>
    </w:pPr>
    <w:rPr>
      <w:sz w:val="28"/>
      <w:szCs w:val="24"/>
    </w:rPr>
  </w:style>
  <w:style w:type="paragraph" w:customStyle="1" w:styleId="27">
    <w:name w:val="附件备注"/>
    <w:basedOn w:val="1"/>
    <w:link w:val="31"/>
    <w:qFormat/>
    <w:uiPriority w:val="0"/>
    <w:pPr>
      <w:spacing w:line="240" w:lineRule="auto"/>
      <w:ind w:firstLine="0" w:firstLineChars="0"/>
    </w:pPr>
    <w:rPr>
      <w:rFonts w:ascii="楷体_GB2312"/>
      <w:sz w:val="24"/>
      <w:szCs w:val="21"/>
    </w:rPr>
  </w:style>
  <w:style w:type="character" w:customStyle="1" w:styleId="28">
    <w:name w:val="批注文字 字符"/>
    <w:basedOn w:val="16"/>
    <w:link w:val="6"/>
    <w:semiHidden/>
    <w:qFormat/>
    <w:uiPriority w:val="99"/>
    <w:rPr>
      <w:rFonts w:ascii="仿宋_GB2312" w:hAnsi="黑体" w:eastAsia="仿宋_GB2312" w:cstheme="minorBidi"/>
      <w:kern w:val="2"/>
      <w:sz w:val="32"/>
      <w:szCs w:val="32"/>
    </w:rPr>
  </w:style>
  <w:style w:type="character" w:customStyle="1" w:styleId="29">
    <w:name w:val="批注主题 字符"/>
    <w:basedOn w:val="28"/>
    <w:link w:val="13"/>
    <w:semiHidden/>
    <w:qFormat/>
    <w:uiPriority w:val="99"/>
    <w:rPr>
      <w:rFonts w:ascii="仿宋_GB2312" w:hAnsi="黑体" w:eastAsia="仿宋_GB2312" w:cstheme="minorBidi"/>
      <w:b/>
      <w:bCs/>
      <w:kern w:val="2"/>
      <w:sz w:val="32"/>
      <w:szCs w:val="32"/>
    </w:rPr>
  </w:style>
  <w:style w:type="paragraph" w:customStyle="1" w:styleId="30">
    <w:name w:val="修订1"/>
    <w:hidden/>
    <w:semiHidden/>
    <w:qFormat/>
    <w:uiPriority w:val="99"/>
    <w:rPr>
      <w:rFonts w:ascii="仿宋_GB2312" w:hAnsi="黑体" w:eastAsia="仿宋_GB2312" w:cstheme="minorBidi"/>
      <w:kern w:val="2"/>
      <w:sz w:val="32"/>
      <w:szCs w:val="32"/>
      <w:lang w:val="en-US" w:eastAsia="zh-CN" w:bidi="ar-SA"/>
    </w:rPr>
  </w:style>
  <w:style w:type="character" w:customStyle="1" w:styleId="31">
    <w:name w:val="附件备注 字符"/>
    <w:basedOn w:val="16"/>
    <w:link w:val="27"/>
    <w:qFormat/>
    <w:uiPriority w:val="0"/>
    <w:rPr>
      <w:rFonts w:ascii="楷体_GB2312" w:hAnsi="黑体" w:eastAsia="仿宋_GB2312" w:cstheme="minorBidi"/>
      <w:kern w:val="2"/>
      <w:sz w:val="24"/>
      <w:szCs w:val="21"/>
    </w:rPr>
  </w:style>
  <w:style w:type="paragraph" w:customStyle="1" w:styleId="32">
    <w:name w:val="副标题1"/>
    <w:basedOn w:val="1"/>
    <w:link w:val="33"/>
    <w:qFormat/>
    <w:uiPriority w:val="0"/>
    <w:pPr>
      <w:widowControl/>
      <w:jc w:val="center"/>
    </w:pPr>
    <w:rPr>
      <w:rFonts w:ascii="楷体" w:hAnsi="楷体" w:eastAsia="楷体_GB2312"/>
      <w:color w:val="333333"/>
      <w:kern w:val="0"/>
      <w:szCs w:val="18"/>
    </w:rPr>
  </w:style>
  <w:style w:type="character" w:customStyle="1" w:styleId="33">
    <w:name w:val="副标题1 字符"/>
    <w:basedOn w:val="16"/>
    <w:link w:val="32"/>
    <w:qFormat/>
    <w:uiPriority w:val="0"/>
    <w:rPr>
      <w:rFonts w:ascii="楷体" w:hAnsi="楷体" w:eastAsia="楷体_GB2312" w:cstheme="minorBidi"/>
      <w:color w:val="333333"/>
      <w:sz w:val="32"/>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827</Words>
  <Characters>4714</Characters>
  <Lines>39</Lines>
  <Paragraphs>11</Paragraphs>
  <TotalTime>12</TotalTime>
  <ScaleCrop>false</ScaleCrop>
  <LinksUpToDate>false</LinksUpToDate>
  <CharactersWithSpaces>5530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2025-04-24T19:35:00Z</dcterms:created>
  <dc:creator>梁 家健</dc:creator>
  <cp:lastModifiedBy>user</cp:lastModifiedBy>
  <cp:lastPrinted>2025-04-25T16:36:18Z</cp:lastPrinted>
  <dcterms:modified xsi:type="dcterms:W3CDTF">2025-04-25T16:47:44Z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51A0EFBF6B6E4176A6221FEFFBA69031_12</vt:lpwstr>
  </property>
</Properties>
</file>